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A70" w:rsidRDefault="00F47340" w:rsidP="005E0A70">
      <w:pPr>
        <w:rPr>
          <w:rFonts w:ascii="Times New Roman" w:eastAsia="Times New Roman" w:hAnsi="Times New Roman" w:cs="Times New Roman"/>
          <w:b/>
          <w:bCs/>
          <w:kern w:val="36"/>
          <w:sz w:val="28"/>
          <w:szCs w:val="28"/>
          <w:lang w:eastAsia="ru-RU"/>
        </w:rPr>
      </w:pPr>
      <w:bookmarkStart w:id="0" w:name="_GoBack"/>
      <w:bookmarkEnd w:id="0"/>
      <w:r>
        <w:rPr>
          <w:noProof/>
          <w:lang w:val="uk-UA" w:eastAsia="uk-UA"/>
        </w:rPr>
        <mc:AlternateContent>
          <mc:Choice Requires="wps">
            <w:drawing>
              <wp:anchor distT="0" distB="0" distL="114300" distR="114300" simplePos="0" relativeHeight="251659264" behindDoc="0" locked="0" layoutInCell="1" allowOverlap="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0A70" w:rsidRDefault="005E0A70" w:rsidP="005E0A70">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5E0A70" w:rsidRDefault="005E0A70" w:rsidP="005E0A70">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5E0A70" w:rsidRDefault="005E0A70" w:rsidP="005E0A70">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5E0A70" w:rsidRDefault="005E0A70" w:rsidP="005E0A70">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5E0A70" w:rsidRDefault="005E0A70" w:rsidP="005E0A70">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5E0A70" w:rsidRDefault="005E0A70" w:rsidP="005E0A70">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v:textbox>
              </v:shape>
            </w:pict>
          </mc:Fallback>
        </mc:AlternateContent>
      </w:r>
      <w:bookmarkStart w:id="1" w:name="bookmark2"/>
      <w:r w:rsidR="005E0A70">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290485" w:rsidRPr="00290485" w:rsidRDefault="00290485" w:rsidP="00290485">
      <w:pPr>
        <w:jc w:val="center"/>
        <w:rPr>
          <w:rFonts w:ascii="Times New Roman" w:hAnsi="Times New Roman" w:cs="Times New Roman"/>
          <w:color w:val="333333"/>
          <w:sz w:val="28"/>
          <w:szCs w:val="28"/>
          <w:shd w:val="clear" w:color="auto" w:fill="FFFFFF"/>
          <w:lang w:val="uk-UA"/>
        </w:rPr>
      </w:pPr>
      <w:r w:rsidRPr="00290485">
        <w:rPr>
          <w:rFonts w:ascii="Times New Roman" w:hAnsi="Times New Roman" w:cs="Times New Roman"/>
          <w:b/>
          <w:color w:val="333333"/>
          <w:sz w:val="28"/>
          <w:szCs w:val="28"/>
          <w:shd w:val="clear" w:color="auto" w:fill="FFFFFF"/>
          <w:lang w:val="uk-UA"/>
        </w:rPr>
        <w:t>Чи має право платник ПДВ віднести до податкового кредиту суму ПДВ на підставі податкової накладної, в графі 7 якої міститься більше двох знаків після коми?</w:t>
      </w:r>
    </w:p>
    <w:p w:rsidR="00290485" w:rsidRDefault="00290485" w:rsidP="00290485">
      <w:pPr>
        <w:spacing w:after="0" w:line="240" w:lineRule="auto"/>
        <w:ind w:firstLine="567"/>
        <w:jc w:val="both"/>
        <w:rPr>
          <w:rFonts w:ascii="Times New Roman" w:hAnsi="Times New Roman" w:cs="Times New Roman"/>
          <w:color w:val="333333"/>
          <w:sz w:val="28"/>
          <w:szCs w:val="28"/>
          <w:lang w:val="uk-UA"/>
        </w:rPr>
      </w:pPr>
      <w:r w:rsidRPr="00290485">
        <w:rPr>
          <w:rFonts w:ascii="Times New Roman" w:hAnsi="Times New Roman" w:cs="Times New Roman"/>
          <w:color w:val="333333"/>
          <w:sz w:val="28"/>
          <w:szCs w:val="28"/>
          <w:shd w:val="clear" w:color="auto" w:fill="FFFFFF"/>
          <w:lang w:val="uk-UA"/>
        </w:rPr>
        <w:t>Відповідно до п. 198.6 ст. 198 Податкового кодексу України від 02 грудня 2010 року № 2755-VI зі змінами та доповненнями (далі – ПКУ) не відносяться до податкового кредиту суми податку, сплаченого (нарахованого) у зв’язку з придбанням товарів/послуг, не підтверджені зареєстрованими в Єдиному реєстрі податкових накладних (далі – ЄРПН) податковими накладними/розрахунками коригування до таких податкових накладних чи не підтверджені митними деклараціями (тимчасовими, додатковими та іншими видами митних декларацій, за якими сплачуються суми податку до бюджету при ввезенні товарів на митну територію України), іншими документами, передбаченими п. 201.11 ст. 201 ПКУ.</w:t>
      </w:r>
    </w:p>
    <w:p w:rsidR="00290485" w:rsidRDefault="00290485" w:rsidP="00290485">
      <w:pPr>
        <w:spacing w:after="0" w:line="240" w:lineRule="auto"/>
        <w:ind w:firstLine="567"/>
        <w:jc w:val="both"/>
        <w:rPr>
          <w:rFonts w:ascii="Times New Roman" w:hAnsi="Times New Roman" w:cs="Times New Roman"/>
          <w:color w:val="333333"/>
          <w:sz w:val="28"/>
          <w:szCs w:val="28"/>
          <w:lang w:val="uk-UA"/>
        </w:rPr>
      </w:pPr>
      <w:r w:rsidRPr="00290485">
        <w:rPr>
          <w:rFonts w:ascii="Times New Roman" w:hAnsi="Times New Roman" w:cs="Times New Roman"/>
          <w:color w:val="333333"/>
          <w:sz w:val="28"/>
          <w:szCs w:val="28"/>
          <w:shd w:val="clear" w:color="auto" w:fill="FFFFFF"/>
          <w:lang w:val="uk-UA"/>
        </w:rPr>
        <w:t>Згідно з п. 201.10 ст. 201 ПКУ податкова накладна, складена та зареєстрована в ЄРПН платником податку, який здійснює операції з постачання товарів/послуг, є для покупця таких товарів/послуг підставою для нарахування сум податку, що відносяться до податкового кредиту.</w:t>
      </w:r>
    </w:p>
    <w:p w:rsidR="00290485" w:rsidRDefault="00290485" w:rsidP="00290485">
      <w:pPr>
        <w:spacing w:after="0" w:line="240" w:lineRule="auto"/>
        <w:ind w:firstLine="567"/>
        <w:jc w:val="both"/>
        <w:rPr>
          <w:rFonts w:ascii="Times New Roman" w:hAnsi="Times New Roman" w:cs="Times New Roman"/>
          <w:color w:val="333333"/>
          <w:sz w:val="28"/>
          <w:szCs w:val="28"/>
          <w:lang w:val="uk-UA"/>
        </w:rPr>
      </w:pPr>
      <w:r w:rsidRPr="00290485">
        <w:rPr>
          <w:rFonts w:ascii="Times New Roman" w:hAnsi="Times New Roman" w:cs="Times New Roman"/>
          <w:color w:val="333333"/>
          <w:sz w:val="28"/>
          <w:szCs w:val="28"/>
          <w:shd w:val="clear" w:color="auto" w:fill="FFFFFF"/>
          <w:lang w:val="uk-UA"/>
        </w:rPr>
        <w:t>Реквізит «Ціна постачання одиниці товару/послуги або максимальна роздрібна ціна товарів без урахування податку на додану вартість» є одним з обов’язкових реквізитів податкової накладної, визначених п. 201.1 ст. 201 ПКУ.</w:t>
      </w:r>
    </w:p>
    <w:p w:rsidR="00290485" w:rsidRDefault="00290485" w:rsidP="00290485">
      <w:pPr>
        <w:spacing w:after="0" w:line="240" w:lineRule="auto"/>
        <w:ind w:firstLine="567"/>
        <w:jc w:val="both"/>
        <w:rPr>
          <w:rFonts w:ascii="Times New Roman" w:hAnsi="Times New Roman" w:cs="Times New Roman"/>
          <w:color w:val="333333"/>
          <w:sz w:val="28"/>
          <w:szCs w:val="28"/>
          <w:lang w:val="uk-UA"/>
        </w:rPr>
      </w:pPr>
      <w:r w:rsidRPr="00290485">
        <w:rPr>
          <w:rFonts w:ascii="Times New Roman" w:hAnsi="Times New Roman" w:cs="Times New Roman"/>
          <w:color w:val="333333"/>
          <w:sz w:val="28"/>
          <w:szCs w:val="28"/>
          <w:shd w:val="clear" w:color="auto" w:fill="FFFFFF"/>
          <w:lang w:val="uk-UA"/>
        </w:rPr>
        <w:t>Порядок заповнення податкової накладної затверджений наказом Міністерства фінансів України від 31.12.2015 № 1307, зареєстрованим у Міністерстві юстиції України 26.01.2016 за № 137/28267 (далі – Порядок № 1307).</w:t>
      </w:r>
    </w:p>
    <w:p w:rsidR="00290485" w:rsidRDefault="00290485" w:rsidP="00290485">
      <w:pPr>
        <w:spacing w:after="0" w:line="240" w:lineRule="auto"/>
        <w:ind w:firstLine="567"/>
        <w:jc w:val="both"/>
        <w:rPr>
          <w:rFonts w:ascii="Times New Roman" w:hAnsi="Times New Roman" w:cs="Times New Roman"/>
          <w:color w:val="333333"/>
          <w:sz w:val="28"/>
          <w:szCs w:val="28"/>
          <w:lang w:val="uk-UA"/>
        </w:rPr>
      </w:pPr>
      <w:r w:rsidRPr="00290485">
        <w:rPr>
          <w:rFonts w:ascii="Times New Roman" w:hAnsi="Times New Roman" w:cs="Times New Roman"/>
          <w:color w:val="333333"/>
          <w:sz w:val="28"/>
          <w:szCs w:val="28"/>
          <w:shd w:val="clear" w:color="auto" w:fill="FFFFFF"/>
          <w:lang w:val="uk-UA"/>
        </w:rPr>
        <w:t>Відповідно до п. 16 Порядку № 1307 у графі 6 податкової накладної зазначається кількість (об’єм, обсяг) постачання товарів/послуг, у графі 7 – ціна постачання одиниці товару/послуги без урахування ПДВ, у разі складання податкової накладної на операції з постачання товарів, базою оподаткування для яких встановлено максимальні роздрібні ціни, у графі 7 зазначається максимальна роздрібна ціна товару без урахування податку на додану вартість, у графі 10 – обсяг постачання (база оподаткування) без урахування ПДВ (значення графи 10 обраховується шляхом множення значення графи 6 на значення графи 7).</w:t>
      </w:r>
    </w:p>
    <w:p w:rsidR="00290485" w:rsidRDefault="00290485" w:rsidP="00290485">
      <w:pPr>
        <w:spacing w:after="0" w:line="240" w:lineRule="auto"/>
        <w:ind w:firstLine="567"/>
        <w:jc w:val="both"/>
        <w:rPr>
          <w:rFonts w:ascii="Times New Roman" w:hAnsi="Times New Roman" w:cs="Times New Roman"/>
          <w:color w:val="333333"/>
          <w:sz w:val="28"/>
          <w:szCs w:val="28"/>
          <w:lang w:val="uk-UA"/>
        </w:rPr>
      </w:pPr>
      <w:r w:rsidRPr="00290485">
        <w:rPr>
          <w:rFonts w:ascii="Times New Roman" w:hAnsi="Times New Roman" w:cs="Times New Roman"/>
          <w:color w:val="333333"/>
          <w:sz w:val="28"/>
          <w:szCs w:val="28"/>
          <w:shd w:val="clear" w:color="auto" w:fill="FFFFFF"/>
          <w:lang w:val="uk-UA"/>
        </w:rPr>
        <w:t xml:space="preserve">Пунктами 4 та 16 Порядку № 1307 передбачено, що усі графи податкової накладної, що мають вартісні показники, заповнюються в гривнях з копійками (крім показника графи 7, у разі якщо для нього інше передбачено чинним законодавством та показника графи 11, який заповнюється у гривнях </w:t>
      </w:r>
      <w:r w:rsidRPr="00290485">
        <w:rPr>
          <w:rFonts w:ascii="Times New Roman" w:hAnsi="Times New Roman" w:cs="Times New Roman"/>
          <w:color w:val="333333"/>
          <w:sz w:val="28"/>
          <w:szCs w:val="28"/>
          <w:shd w:val="clear" w:color="auto" w:fill="FFFFFF"/>
          <w:lang w:val="uk-UA"/>
        </w:rPr>
        <w:lastRenderedPageBreak/>
        <w:t>з копійками, але з урахуванням особливостей здійснення окремих операцій з постачання товарів/послуг за якими допускається зазначення в графі 11 показника з урахуванням арифметичного округлення до 6 знаків включно після коми). При цьому у кількісному показнику податкової накладної необхідною кількістю знаків після коми вважається така кількість, якої достатньо для правильного розрахунку вартісного показника у графі 10 податкової накладної.</w:t>
      </w:r>
    </w:p>
    <w:p w:rsidR="005E0A70" w:rsidRPr="003A6112" w:rsidRDefault="00290485" w:rsidP="00290485">
      <w:pPr>
        <w:spacing w:after="0" w:line="240" w:lineRule="auto"/>
        <w:ind w:firstLine="567"/>
        <w:jc w:val="both"/>
        <w:rPr>
          <w:rFonts w:ascii="Times New Roman" w:hAnsi="Times New Roman" w:cs="Times New Roman"/>
          <w:color w:val="333333"/>
          <w:sz w:val="28"/>
          <w:szCs w:val="28"/>
          <w:shd w:val="clear" w:color="auto" w:fill="FFFFFF"/>
          <w:lang w:val="uk-UA"/>
        </w:rPr>
      </w:pPr>
      <w:r w:rsidRPr="00290485">
        <w:rPr>
          <w:rFonts w:ascii="Times New Roman" w:hAnsi="Times New Roman" w:cs="Times New Roman"/>
          <w:color w:val="333333"/>
          <w:sz w:val="28"/>
          <w:szCs w:val="28"/>
          <w:shd w:val="clear" w:color="auto" w:fill="FFFFFF"/>
          <w:lang w:val="uk-UA"/>
        </w:rPr>
        <w:t>Отже, зареєстрована в ЄРПН податкова накладна, в якій вказано ціну постачання одиниці товару/послуги, яка містить після коми більше ніж два знаки, є підставою для формування податкового кредиту за умови відповідності іншим вимогам, що визначені в ПКУ.</w:t>
      </w:r>
    </w:p>
    <w:p w:rsidR="00C207D8" w:rsidRDefault="00C207D8" w:rsidP="005E0A70">
      <w:pPr>
        <w:rPr>
          <w:rFonts w:ascii="Proba Pro" w:hAnsi="Proba Pro"/>
          <w:color w:val="333333"/>
          <w:sz w:val="30"/>
          <w:szCs w:val="30"/>
          <w:shd w:val="clear" w:color="auto" w:fill="FFFFFF"/>
          <w:lang w:val="uk-UA"/>
        </w:rPr>
      </w:pPr>
    </w:p>
    <w:p w:rsidR="005E0A70" w:rsidRDefault="005E0A70" w:rsidP="005E0A70">
      <w:pPr>
        <w:rPr>
          <w:rFonts w:ascii="Times New Roman" w:hAnsi="Times New Roman" w:cs="Times New Roman"/>
          <w:sz w:val="28"/>
          <w:szCs w:val="28"/>
        </w:rPr>
      </w:pPr>
      <w:r>
        <w:rPr>
          <w:rFonts w:ascii="Proba Pro" w:hAnsi="Proba Pro"/>
          <w:color w:val="333333"/>
          <w:sz w:val="30"/>
          <w:szCs w:val="30"/>
          <w:shd w:val="clear" w:color="auto" w:fill="FFFFFF"/>
        </w:rPr>
        <w:t>За інформацією загальнодоступного інформаційно-довідкового ресурсу.</w:t>
      </w:r>
    </w:p>
    <w:p w:rsidR="005E0A70" w:rsidRDefault="005E0A70" w:rsidP="005E0A70">
      <w:pPr>
        <w:rPr>
          <w:rStyle w:val="z-label"/>
        </w:rPr>
      </w:pPr>
    </w:p>
    <w:p w:rsidR="005E0A70" w:rsidRPr="00C207D8" w:rsidRDefault="005E0A70" w:rsidP="005E0A70">
      <w:pPr>
        <w:spacing w:after="0" w:line="240" w:lineRule="auto"/>
        <w:rPr>
          <w:rFonts w:ascii="Times New Roman" w:hAnsi="Times New Roman" w:cs="Times New Roman"/>
          <w:sz w:val="28"/>
          <w:szCs w:val="28"/>
        </w:rPr>
      </w:pPr>
    </w:p>
    <w:p w:rsidR="003A6112" w:rsidRPr="00C207D8" w:rsidRDefault="003A6112" w:rsidP="005E0A70">
      <w:pPr>
        <w:spacing w:after="0" w:line="240" w:lineRule="auto"/>
        <w:rPr>
          <w:rFonts w:ascii="Times New Roman" w:hAnsi="Times New Roman" w:cs="Times New Roman"/>
          <w:sz w:val="28"/>
          <w:szCs w:val="28"/>
        </w:rPr>
      </w:pPr>
    </w:p>
    <w:p w:rsidR="003A6112" w:rsidRPr="00C207D8" w:rsidRDefault="003A6112" w:rsidP="005E0A70">
      <w:pPr>
        <w:spacing w:after="0" w:line="240" w:lineRule="auto"/>
        <w:rPr>
          <w:rFonts w:ascii="Times New Roman" w:hAnsi="Times New Roman" w:cs="Times New Roman"/>
          <w:sz w:val="28"/>
          <w:szCs w:val="28"/>
        </w:rPr>
      </w:pPr>
    </w:p>
    <w:p w:rsidR="003A6112" w:rsidRPr="00C207D8" w:rsidRDefault="003A6112" w:rsidP="005E0A70">
      <w:pPr>
        <w:spacing w:after="0" w:line="240" w:lineRule="auto"/>
        <w:rPr>
          <w:rFonts w:ascii="Times New Roman" w:hAnsi="Times New Roman" w:cs="Times New Roman"/>
          <w:sz w:val="28"/>
          <w:szCs w:val="28"/>
        </w:rPr>
      </w:pPr>
    </w:p>
    <w:p w:rsidR="003A6112" w:rsidRPr="00C207D8" w:rsidRDefault="003A6112" w:rsidP="005E0A70">
      <w:pPr>
        <w:spacing w:after="0" w:line="240" w:lineRule="auto"/>
        <w:rPr>
          <w:rFonts w:ascii="Times New Roman" w:hAnsi="Times New Roman" w:cs="Times New Roman"/>
          <w:sz w:val="28"/>
          <w:szCs w:val="28"/>
        </w:rPr>
      </w:pPr>
    </w:p>
    <w:p w:rsidR="003A6112" w:rsidRPr="00C207D8" w:rsidRDefault="003A6112" w:rsidP="005E0A70">
      <w:pPr>
        <w:spacing w:after="0" w:line="240" w:lineRule="auto"/>
        <w:rPr>
          <w:rFonts w:ascii="Times New Roman" w:hAnsi="Times New Roman" w:cs="Times New Roman"/>
          <w:sz w:val="28"/>
          <w:szCs w:val="28"/>
        </w:rPr>
      </w:pPr>
    </w:p>
    <w:p w:rsidR="005E0A70" w:rsidRPr="00E208DE" w:rsidRDefault="005E0A70" w:rsidP="005E0A70">
      <w:pPr>
        <w:spacing w:after="0" w:line="240" w:lineRule="auto"/>
        <w:rPr>
          <w:rFonts w:ascii="Times New Roman" w:hAnsi="Times New Roman" w:cs="Times New Roman"/>
          <w:sz w:val="28"/>
          <w:szCs w:val="28"/>
        </w:rPr>
      </w:pPr>
    </w:p>
    <w:p w:rsidR="005E0A70" w:rsidRPr="003A6112" w:rsidRDefault="005E0A70" w:rsidP="005E0A70">
      <w:pPr>
        <w:spacing w:after="0" w:line="240" w:lineRule="auto"/>
        <w:rPr>
          <w:rFonts w:ascii="Times New Roman" w:hAnsi="Times New Roman" w:cs="Times New Roman"/>
          <w:sz w:val="28"/>
          <w:szCs w:val="28"/>
        </w:rPr>
      </w:pPr>
    </w:p>
    <w:p w:rsidR="005E0A70" w:rsidRPr="003A6112" w:rsidRDefault="005E0A70" w:rsidP="005E0A70">
      <w:pPr>
        <w:spacing w:after="0" w:line="240" w:lineRule="auto"/>
        <w:rPr>
          <w:rFonts w:ascii="Times New Roman" w:hAnsi="Times New Roman" w:cs="Times New Roman"/>
          <w:sz w:val="28"/>
          <w:szCs w:val="28"/>
        </w:rPr>
      </w:pPr>
    </w:p>
    <w:p w:rsidR="005E0A70" w:rsidRPr="003A6112" w:rsidRDefault="005E0A70" w:rsidP="005E0A70">
      <w:pPr>
        <w:spacing w:after="0" w:line="240" w:lineRule="auto"/>
        <w:rPr>
          <w:rFonts w:ascii="Times New Roman" w:hAnsi="Times New Roman" w:cs="Times New Roman"/>
          <w:sz w:val="28"/>
          <w:szCs w:val="28"/>
        </w:rPr>
      </w:pPr>
    </w:p>
    <w:p w:rsidR="005E0A70" w:rsidRPr="003A6112" w:rsidRDefault="005E0A70" w:rsidP="005E0A70">
      <w:pPr>
        <w:spacing w:after="0" w:line="240" w:lineRule="auto"/>
        <w:rPr>
          <w:rFonts w:ascii="Times New Roman" w:hAnsi="Times New Roman" w:cs="Times New Roman"/>
          <w:sz w:val="28"/>
          <w:szCs w:val="28"/>
        </w:rPr>
      </w:pPr>
    </w:p>
    <w:p w:rsidR="005E0A70" w:rsidRPr="003A6112" w:rsidRDefault="005E0A70" w:rsidP="005E0A70">
      <w:pPr>
        <w:spacing w:after="0" w:line="240" w:lineRule="auto"/>
        <w:rPr>
          <w:rFonts w:ascii="Times New Roman" w:hAnsi="Times New Roman" w:cs="Times New Roman"/>
          <w:sz w:val="28"/>
          <w:szCs w:val="28"/>
        </w:rPr>
      </w:pPr>
    </w:p>
    <w:p w:rsidR="005E0A70" w:rsidRPr="003A6112" w:rsidRDefault="005E0A70" w:rsidP="005E0A70">
      <w:pPr>
        <w:spacing w:after="0" w:line="240" w:lineRule="auto"/>
        <w:rPr>
          <w:rFonts w:ascii="Times New Roman" w:hAnsi="Times New Roman" w:cs="Times New Roman"/>
          <w:sz w:val="28"/>
          <w:szCs w:val="28"/>
        </w:rPr>
      </w:pPr>
    </w:p>
    <w:p w:rsidR="005E0A70" w:rsidRPr="003A6112" w:rsidRDefault="005E0A70" w:rsidP="005E0A70">
      <w:pPr>
        <w:spacing w:after="0" w:line="240" w:lineRule="auto"/>
        <w:rPr>
          <w:rFonts w:ascii="Times New Roman" w:hAnsi="Times New Roman" w:cs="Times New Roman"/>
          <w:sz w:val="28"/>
          <w:szCs w:val="28"/>
        </w:rPr>
      </w:pPr>
    </w:p>
    <w:p w:rsidR="005E0A70" w:rsidRPr="003A6112" w:rsidRDefault="005E0A70" w:rsidP="005E0A70">
      <w:pPr>
        <w:spacing w:after="0" w:line="240" w:lineRule="auto"/>
        <w:rPr>
          <w:rFonts w:ascii="Times New Roman" w:hAnsi="Times New Roman" w:cs="Times New Roman"/>
          <w:sz w:val="28"/>
          <w:szCs w:val="28"/>
        </w:rPr>
      </w:pPr>
    </w:p>
    <w:p w:rsidR="005E0A70" w:rsidRPr="003A6112" w:rsidRDefault="005E0A70" w:rsidP="005E0A70">
      <w:pPr>
        <w:spacing w:after="0" w:line="240" w:lineRule="auto"/>
        <w:rPr>
          <w:rFonts w:ascii="Times New Roman" w:hAnsi="Times New Roman" w:cs="Times New Roman"/>
          <w:sz w:val="28"/>
          <w:szCs w:val="28"/>
        </w:rPr>
      </w:pPr>
    </w:p>
    <w:p w:rsidR="005E0A70" w:rsidRPr="003A6112" w:rsidRDefault="005E0A70" w:rsidP="005E0A70">
      <w:pPr>
        <w:spacing w:after="0" w:line="240" w:lineRule="auto"/>
        <w:rPr>
          <w:rFonts w:ascii="Times New Roman" w:hAnsi="Times New Roman" w:cs="Times New Roman"/>
          <w:sz w:val="28"/>
          <w:szCs w:val="28"/>
        </w:rPr>
      </w:pPr>
    </w:p>
    <w:p w:rsidR="005E0A70" w:rsidRPr="003A6112" w:rsidRDefault="005E0A70" w:rsidP="005E0A70">
      <w:pPr>
        <w:spacing w:after="0" w:line="240" w:lineRule="auto"/>
        <w:rPr>
          <w:rFonts w:ascii="Times New Roman" w:hAnsi="Times New Roman" w:cs="Times New Roman"/>
          <w:sz w:val="28"/>
          <w:szCs w:val="28"/>
        </w:rPr>
      </w:pPr>
    </w:p>
    <w:p w:rsidR="005E0A70" w:rsidRPr="003A6112" w:rsidRDefault="005E0A70" w:rsidP="005E0A70">
      <w:pPr>
        <w:spacing w:after="0" w:line="240" w:lineRule="auto"/>
        <w:rPr>
          <w:rFonts w:ascii="Times New Roman" w:hAnsi="Times New Roman" w:cs="Times New Roman"/>
          <w:sz w:val="28"/>
          <w:szCs w:val="28"/>
        </w:rPr>
      </w:pPr>
    </w:p>
    <w:p w:rsidR="005E0A70" w:rsidRPr="003A6112" w:rsidRDefault="005E0A70" w:rsidP="005E0A70">
      <w:pPr>
        <w:spacing w:after="0" w:line="240" w:lineRule="auto"/>
        <w:rPr>
          <w:rFonts w:ascii="Times New Roman" w:hAnsi="Times New Roman" w:cs="Times New Roman"/>
          <w:sz w:val="28"/>
          <w:szCs w:val="28"/>
        </w:rPr>
      </w:pPr>
    </w:p>
    <w:p w:rsidR="005E0A70" w:rsidRPr="003A6112" w:rsidRDefault="005E0A70" w:rsidP="005E0A70">
      <w:pPr>
        <w:spacing w:after="0" w:line="240" w:lineRule="auto"/>
        <w:rPr>
          <w:rFonts w:ascii="Times New Roman" w:hAnsi="Times New Roman" w:cs="Times New Roman"/>
          <w:sz w:val="28"/>
          <w:szCs w:val="28"/>
        </w:rPr>
      </w:pPr>
    </w:p>
    <w:p w:rsidR="005E0A70" w:rsidRPr="003A6112" w:rsidRDefault="005E0A70" w:rsidP="005E0A70">
      <w:pPr>
        <w:spacing w:after="0" w:line="240" w:lineRule="auto"/>
        <w:rPr>
          <w:rFonts w:ascii="Times New Roman" w:hAnsi="Times New Roman" w:cs="Times New Roman"/>
          <w:sz w:val="28"/>
          <w:szCs w:val="28"/>
        </w:rPr>
      </w:pPr>
    </w:p>
    <w:p w:rsidR="005E0A70" w:rsidRPr="003A6112" w:rsidRDefault="005E0A70" w:rsidP="005E0A70">
      <w:pPr>
        <w:spacing w:after="0" w:line="240" w:lineRule="auto"/>
        <w:rPr>
          <w:rFonts w:ascii="Times New Roman" w:hAnsi="Times New Roman" w:cs="Times New Roman"/>
          <w:sz w:val="28"/>
          <w:szCs w:val="28"/>
        </w:rPr>
      </w:pPr>
    </w:p>
    <w:p w:rsidR="005E0A70" w:rsidRPr="003A6112" w:rsidRDefault="005E0A70" w:rsidP="005E0A70">
      <w:pPr>
        <w:spacing w:after="0" w:line="240" w:lineRule="auto"/>
        <w:rPr>
          <w:rFonts w:ascii="Times New Roman" w:hAnsi="Times New Roman" w:cs="Times New Roman"/>
          <w:sz w:val="28"/>
          <w:szCs w:val="28"/>
        </w:rPr>
      </w:pPr>
    </w:p>
    <w:p w:rsidR="005E0A70" w:rsidRPr="003A6112" w:rsidRDefault="005E0A70" w:rsidP="005E0A70">
      <w:pPr>
        <w:spacing w:after="0" w:line="240" w:lineRule="auto"/>
        <w:rPr>
          <w:rFonts w:ascii="Times New Roman" w:hAnsi="Times New Roman" w:cs="Times New Roman"/>
          <w:sz w:val="28"/>
          <w:szCs w:val="28"/>
        </w:rPr>
      </w:pPr>
    </w:p>
    <w:p w:rsidR="005E0A70" w:rsidRPr="003A6112" w:rsidRDefault="005E0A70" w:rsidP="005E0A70">
      <w:pPr>
        <w:spacing w:after="0" w:line="240" w:lineRule="auto"/>
        <w:rPr>
          <w:rFonts w:ascii="Times New Roman" w:hAnsi="Times New Roman" w:cs="Times New Roman"/>
          <w:sz w:val="28"/>
          <w:szCs w:val="28"/>
        </w:rPr>
      </w:pPr>
    </w:p>
    <w:p w:rsidR="005E0A70" w:rsidRPr="003A6112" w:rsidRDefault="005E0A70" w:rsidP="005E0A70">
      <w:pPr>
        <w:spacing w:after="0" w:line="240" w:lineRule="auto"/>
        <w:rPr>
          <w:rFonts w:ascii="Times New Roman" w:hAnsi="Times New Roman" w:cs="Times New Roman"/>
          <w:sz w:val="28"/>
          <w:szCs w:val="28"/>
        </w:rPr>
      </w:pPr>
    </w:p>
    <w:p w:rsidR="005E0A70" w:rsidRPr="003A6112" w:rsidRDefault="005E0A70" w:rsidP="005E0A70">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18002, м. Черкаси, вул. Хрещатик</w:t>
      </w:r>
      <w:r w:rsidRPr="005E0A70">
        <w:rPr>
          <w:rFonts w:ascii="Times New Roman" w:hAnsi="Times New Roman" w:cs="Times New Roman"/>
          <w:sz w:val="20"/>
          <w:szCs w:val="20"/>
        </w:rPr>
        <w:t xml:space="preserve">,235                                           </w:t>
      </w:r>
      <w:r w:rsidRPr="00EA716F">
        <w:rPr>
          <w:rFonts w:ascii="Times New Roman" w:hAnsi="Times New Roman" w:cs="Times New Roman"/>
          <w:sz w:val="20"/>
          <w:szCs w:val="20"/>
          <w:lang w:val="en-US"/>
        </w:rPr>
        <w:t>e</w:t>
      </w:r>
      <w:r w:rsidRPr="003A6112">
        <w:rPr>
          <w:rFonts w:ascii="Times New Roman" w:hAnsi="Times New Roman" w:cs="Times New Roman"/>
          <w:sz w:val="20"/>
          <w:szCs w:val="20"/>
        </w:rPr>
        <w:t>-</w:t>
      </w:r>
      <w:r w:rsidRPr="00EA716F">
        <w:rPr>
          <w:rFonts w:ascii="Times New Roman" w:hAnsi="Times New Roman" w:cs="Times New Roman"/>
          <w:sz w:val="20"/>
          <w:szCs w:val="20"/>
          <w:lang w:val="en-US"/>
        </w:rPr>
        <w:t>mail</w:t>
      </w:r>
      <w:r w:rsidRPr="003A6112">
        <w:rPr>
          <w:rFonts w:ascii="Times New Roman" w:hAnsi="Times New Roman" w:cs="Times New Roman"/>
          <w:sz w:val="20"/>
          <w:szCs w:val="20"/>
        </w:rPr>
        <w:t xml:space="preserve">: </w:t>
      </w:r>
      <w:hyperlink r:id="rId6" w:history="1">
        <w:r w:rsidRPr="00EA716F">
          <w:rPr>
            <w:rStyle w:val="a5"/>
            <w:rFonts w:ascii="Times New Roman" w:hAnsi="Times New Roman" w:cs="Times New Roman"/>
            <w:sz w:val="20"/>
            <w:szCs w:val="20"/>
            <w:lang w:val="en-US"/>
          </w:rPr>
          <w:t>ck</w:t>
        </w:r>
        <w:r w:rsidRPr="003A6112">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zmi</w:t>
        </w:r>
        <w:r w:rsidRPr="003A6112">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tax</w:t>
        </w:r>
        <w:r w:rsidRPr="003A6112">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gov</w:t>
        </w:r>
        <w:r w:rsidRPr="003A6112">
          <w:rPr>
            <w:rStyle w:val="a5"/>
            <w:rFonts w:ascii="Times New Roman" w:hAnsi="Times New Roman" w:cs="Times New Roman"/>
            <w:sz w:val="20"/>
            <w:szCs w:val="20"/>
          </w:rPr>
          <w:t>.</w:t>
        </w:r>
        <w:r w:rsidRPr="00EA716F">
          <w:rPr>
            <w:rStyle w:val="a5"/>
            <w:rFonts w:ascii="Times New Roman" w:hAnsi="Times New Roman" w:cs="Times New Roman"/>
            <w:sz w:val="20"/>
            <w:szCs w:val="20"/>
            <w:lang w:val="en-US"/>
          </w:rPr>
          <w:t>ua</w:t>
        </w:r>
      </w:hyperlink>
    </w:p>
    <w:p w:rsidR="005E0A70" w:rsidRPr="00EA716F" w:rsidRDefault="005E0A70" w:rsidP="005E0A70">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p w:rsidR="005E0A70" w:rsidRPr="007129AA" w:rsidRDefault="005E0A70" w:rsidP="005E0A70"/>
    <w:sectPr w:rsidR="005E0A70" w:rsidRPr="007129AA" w:rsidSect="00A43B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ba 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485"/>
    <w:rsid w:val="00290485"/>
    <w:rsid w:val="003A6112"/>
    <w:rsid w:val="0046192F"/>
    <w:rsid w:val="005E0A70"/>
    <w:rsid w:val="00A43B94"/>
    <w:rsid w:val="00C207D8"/>
    <w:rsid w:val="00F473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E0A7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E0A70"/>
    <w:rPr>
      <w:rFonts w:ascii="Tahoma" w:hAnsi="Tahoma" w:cs="Tahoma"/>
      <w:sz w:val="16"/>
      <w:szCs w:val="16"/>
    </w:rPr>
  </w:style>
  <w:style w:type="character" w:customStyle="1" w:styleId="z-label">
    <w:name w:val="z-label"/>
    <w:basedOn w:val="a0"/>
    <w:rsid w:val="005E0A70"/>
  </w:style>
  <w:style w:type="character" w:styleId="a5">
    <w:name w:val="Hyperlink"/>
    <w:uiPriority w:val="99"/>
    <w:rsid w:val="005E0A7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E0A7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E0A70"/>
    <w:rPr>
      <w:rFonts w:ascii="Tahoma" w:hAnsi="Tahoma" w:cs="Tahoma"/>
      <w:sz w:val="16"/>
      <w:szCs w:val="16"/>
    </w:rPr>
  </w:style>
  <w:style w:type="character" w:customStyle="1" w:styleId="z-label">
    <w:name w:val="z-label"/>
    <w:basedOn w:val="a0"/>
    <w:rsid w:val="005E0A70"/>
  </w:style>
  <w:style w:type="character" w:styleId="a5">
    <w:name w:val="Hyperlink"/>
    <w:uiPriority w:val="99"/>
    <w:rsid w:val="005E0A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2230</Words>
  <Characters>1272</Characters>
  <Application>Microsoft Office Word</Application>
  <DocSecurity>4</DocSecurity>
  <Lines>10</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dcterms:created xsi:type="dcterms:W3CDTF">2022-07-25T10:35:00Z</dcterms:created>
  <dcterms:modified xsi:type="dcterms:W3CDTF">2022-07-25T10:35:00Z</dcterms:modified>
</cp:coreProperties>
</file>